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5ABB3425" w:rsidR="00F110CD" w:rsidRPr="007A1AC1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pt-BR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10</w:t>
      </w:r>
      <w:r w:rsidR="005954FB" w:rsidRPr="00A1678B">
        <w:rPr>
          <w:bCs/>
          <w:noProof w:val="0"/>
          <w:sz w:val="24"/>
          <w:szCs w:val="24"/>
          <w:lang w:val="de-DE"/>
        </w:rPr>
        <w:t>bis-e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7A1AC1" w:rsidRPr="007A1AC1">
        <w:rPr>
          <w:bCs/>
          <w:noProof w:val="0"/>
          <w:sz w:val="24"/>
          <w:szCs w:val="24"/>
          <w:lang w:val="de-DE"/>
        </w:rPr>
        <w:t>2210100</w:t>
      </w:r>
    </w:p>
    <w:p w14:paraId="30E02940" w14:textId="74CAE2C8" w:rsidR="00CA26CE" w:rsidRDefault="005954FB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10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 xml:space="preserve">19 </w:t>
      </w:r>
      <w:proofErr w:type="gramStart"/>
      <w:r>
        <w:rPr>
          <w:bCs/>
          <w:noProof w:val="0"/>
          <w:sz w:val="24"/>
          <w:szCs w:val="24"/>
        </w:rPr>
        <w:t>October</w:t>
      </w:r>
      <w:r w:rsidR="002778BD" w:rsidRPr="002778BD">
        <w:rPr>
          <w:bCs/>
          <w:noProof w:val="0"/>
          <w:sz w:val="24"/>
          <w:szCs w:val="24"/>
        </w:rPr>
        <w:t>,</w:t>
      </w:r>
      <w:proofErr w:type="gramEnd"/>
      <w:r w:rsidR="002778BD" w:rsidRPr="002778BD">
        <w:rPr>
          <w:bCs/>
          <w:noProof w:val="0"/>
          <w:sz w:val="24"/>
          <w:szCs w:val="24"/>
        </w:rPr>
        <w:t xml:space="preserve">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AA9B721" w:rsidR="0034111C" w:rsidRPr="0040675C" w:rsidRDefault="0034111C" w:rsidP="16512788">
      <w:pPr>
        <w:pStyle w:val="CRCoverPage"/>
        <w:rPr>
          <w:rFonts w:cs="Arial"/>
          <w:b/>
          <w:bCs/>
          <w:sz w:val="24"/>
          <w:szCs w:val="24"/>
          <w:lang w:val="en-FI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2971C9">
        <w:rPr>
          <w:rFonts w:cs="Arial"/>
          <w:b/>
          <w:bCs/>
          <w:sz w:val="24"/>
          <w:szCs w:val="24"/>
          <w:lang w:val="en-FI"/>
        </w:rPr>
        <w:t>8.16.</w:t>
      </w:r>
      <w:r w:rsidR="0040675C">
        <w:rPr>
          <w:rFonts w:cs="Arial"/>
          <w:b/>
          <w:bCs/>
          <w:sz w:val="24"/>
          <w:szCs w:val="24"/>
          <w:lang w:val="en-FI"/>
        </w:rPr>
        <w:t>3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1B6BF64" w:rsidR="0034111C" w:rsidRPr="0040675C" w:rsidRDefault="0034111C" w:rsidP="5529393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529393A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971C9" w:rsidRPr="5529393A">
        <w:rPr>
          <w:rFonts w:ascii="Arial" w:hAnsi="Arial" w:cs="Arial"/>
          <w:b/>
          <w:bCs/>
          <w:sz w:val="24"/>
          <w:szCs w:val="24"/>
        </w:rPr>
        <w:t xml:space="preserve">Remaining issues for </w:t>
      </w:r>
      <w:r w:rsidR="3955E3A6" w:rsidRPr="5529393A">
        <w:rPr>
          <w:rFonts w:ascii="Arial" w:hAnsi="Arial" w:cs="Arial"/>
          <w:b/>
          <w:bCs/>
          <w:sz w:val="24"/>
          <w:szCs w:val="24"/>
        </w:rPr>
        <w:t xml:space="preserve">Rel-17 </w:t>
      </w:r>
      <w:r w:rsidR="002971C9" w:rsidRPr="5529393A">
        <w:rPr>
          <w:rFonts w:ascii="Arial" w:hAnsi="Arial" w:cs="Arial"/>
          <w:b/>
          <w:bCs/>
          <w:sz w:val="24"/>
          <w:szCs w:val="24"/>
        </w:rPr>
        <w:t>UE features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5BABCE46" w:rsidR="00056BDE" w:rsidRPr="00B94772" w:rsidRDefault="00B94772" w:rsidP="00056BDE">
      <w:pPr>
        <w:rPr>
          <w:lang w:val="en-FI"/>
        </w:rPr>
      </w:pPr>
      <w:r>
        <w:rPr>
          <w:rStyle w:val="normaltextrun"/>
          <w:color w:val="000000"/>
          <w:shd w:val="clear" w:color="auto" w:fill="FFFFFF"/>
        </w:rPr>
        <w:t>In RAN1#1</w:t>
      </w:r>
      <w:r>
        <w:rPr>
          <w:rStyle w:val="normaltextrun"/>
          <w:color w:val="000000"/>
          <w:shd w:val="clear" w:color="auto" w:fill="FFFFFF"/>
          <w:lang w:val="en-FI"/>
        </w:rPr>
        <w:t>10</w:t>
      </w:r>
      <w:r>
        <w:rPr>
          <w:rStyle w:val="normaltextrun"/>
          <w:color w:val="000000"/>
          <w:shd w:val="clear" w:color="auto" w:fill="FFFFFF"/>
        </w:rPr>
        <w:t xml:space="preserve"> the RAN1 UE features have been further developed [1]. In this contribution we present our views on the </w:t>
      </w:r>
      <w:r w:rsidR="0040675C">
        <w:rPr>
          <w:rStyle w:val="normaltextrun"/>
          <w:color w:val="000000"/>
          <w:shd w:val="clear" w:color="auto" w:fill="FFFFFF"/>
          <w:lang w:val="en-FI"/>
        </w:rPr>
        <w:t>remaining issues not covered by other agenda items.</w:t>
      </w:r>
      <w:r>
        <w:rPr>
          <w:rStyle w:val="normaltextrun"/>
          <w:color w:val="000000"/>
          <w:shd w:val="clear" w:color="auto" w:fill="FFFFFF"/>
          <w:lang w:val="en-FI"/>
        </w:rPr>
        <w:t xml:space="preserve"> </w:t>
      </w:r>
    </w:p>
    <w:p w14:paraId="71230483" w14:textId="23535408" w:rsidR="00305297" w:rsidRDefault="007820D0" w:rsidP="00A23DCA">
      <w:pPr>
        <w:pStyle w:val="Heading1"/>
      </w:pPr>
      <w:bookmarkStart w:id="1" w:name="_Hlk510705081"/>
      <w:r>
        <w:t>Discussion</w:t>
      </w:r>
    </w:p>
    <w:p w14:paraId="287A37A5" w14:textId="6044A9F0" w:rsidR="00F351BD" w:rsidRDefault="0040675C" w:rsidP="001F201D">
      <w:pPr>
        <w:rPr>
          <w:lang w:val="en-FI"/>
        </w:rPr>
      </w:pPr>
      <w:r>
        <w:rPr>
          <w:lang w:val="en-FI"/>
        </w:rPr>
        <w:t>In RAN1#110 the following agreements have been made [2]:</w:t>
      </w:r>
    </w:p>
    <w:p w14:paraId="724B93F4" w14:textId="77777777" w:rsidR="0040675C" w:rsidRDefault="0040675C" w:rsidP="0040675C">
      <w:pPr>
        <w:ind w:left="852"/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5877E51C" w14:textId="77777777" w:rsidR="0040675C" w:rsidRDefault="0040675C" w:rsidP="0040675C">
      <w:pPr>
        <w:ind w:left="852"/>
        <w:rPr>
          <w:b/>
          <w:lang w:eastAsia="zh-CN"/>
        </w:rPr>
      </w:pPr>
      <w:r>
        <w:rPr>
          <w:b/>
          <w:lang w:eastAsia="zh-CN"/>
        </w:rPr>
        <w:t>Confirm the following working assumption:</w:t>
      </w:r>
    </w:p>
    <w:p w14:paraId="0A9D4B8D" w14:textId="77777777" w:rsidR="0040675C" w:rsidRDefault="0040675C" w:rsidP="0040675C">
      <w:pPr>
        <w:ind w:left="852"/>
        <w:rPr>
          <w:bCs/>
          <w:highlight w:val="darkYellow"/>
        </w:rPr>
      </w:pPr>
      <w:r>
        <w:rPr>
          <w:bCs/>
          <w:highlight w:val="darkYellow"/>
        </w:rPr>
        <w:t>Working Assumption</w:t>
      </w:r>
    </w:p>
    <w:p w14:paraId="4F6814AC" w14:textId="77777777" w:rsidR="0040675C" w:rsidRDefault="0040675C" w:rsidP="0040675C">
      <w:pPr>
        <w:ind w:left="852"/>
      </w:pPr>
      <w:r>
        <w:t xml:space="preserve">A new UE capability is defined as below, </w:t>
      </w:r>
    </w:p>
    <w:p w14:paraId="66EDEA04" w14:textId="77777777" w:rsidR="0040675C" w:rsidRDefault="0040675C" w:rsidP="0040675C">
      <w:pPr>
        <w:numPr>
          <w:ilvl w:val="0"/>
          <w:numId w:val="49"/>
        </w:numPr>
        <w:overflowPunct/>
        <w:autoSpaceDE/>
        <w:autoSpaceDN/>
        <w:adjustRightInd/>
        <w:spacing w:after="0"/>
        <w:ind w:left="1572"/>
        <w:textAlignment w:val="auto"/>
      </w:pPr>
      <w:r>
        <w:t xml:space="preserve">For each “source-target” pair (as indicated by </w:t>
      </w:r>
      <w:proofErr w:type="spellStart"/>
      <w:r>
        <w:rPr>
          <w:i/>
        </w:rPr>
        <w:t>srs-SwitchingTimesListNR</w:t>
      </w:r>
      <w:proofErr w:type="spellEnd"/>
      <w:r>
        <w:t xml:space="preserve">), the UE can indicate which other bands in the band combination are affected by the SRS switch. If this new indication is missing, the UE defaults to Rel-15 </w:t>
      </w:r>
      <w:proofErr w:type="spellStart"/>
      <w:r>
        <w:t>behavior</w:t>
      </w:r>
      <w:proofErr w:type="spellEnd"/>
      <w:r>
        <w:t>.</w:t>
      </w:r>
    </w:p>
    <w:p w14:paraId="50378BFF" w14:textId="77777777" w:rsidR="0040675C" w:rsidRDefault="0040675C" w:rsidP="0040675C">
      <w:pPr>
        <w:numPr>
          <w:ilvl w:val="0"/>
          <w:numId w:val="49"/>
        </w:numPr>
        <w:overflowPunct/>
        <w:autoSpaceDE/>
        <w:autoSpaceDN/>
        <w:adjustRightInd/>
        <w:spacing w:after="0"/>
        <w:ind w:left="1572"/>
        <w:textAlignment w:val="auto"/>
      </w:pPr>
      <w:r>
        <w:t>If the UE indicates the new list of bands, the dropping rules / timelines apply to the bands indicated by the list (requires update in RAN1 specs).</w:t>
      </w:r>
    </w:p>
    <w:p w14:paraId="7E0288BB" w14:textId="77777777" w:rsidR="0040675C" w:rsidRDefault="0040675C" w:rsidP="0040675C">
      <w:pPr>
        <w:ind w:left="852"/>
        <w:rPr>
          <w:i/>
        </w:rPr>
      </w:pPr>
      <w:r>
        <w:t xml:space="preserve">Note: the new UE capability has no impact on the legacy capability </w:t>
      </w:r>
      <w:proofErr w:type="spellStart"/>
      <w:r>
        <w:rPr>
          <w:i/>
        </w:rPr>
        <w:t>txSwitchImpactToRx</w:t>
      </w:r>
      <w:proofErr w:type="spellEnd"/>
      <w:r>
        <w:t xml:space="preserve"> and </w:t>
      </w:r>
      <w:proofErr w:type="spellStart"/>
      <w:r>
        <w:rPr>
          <w:i/>
        </w:rPr>
        <w:t>txSwitchWithAnotherBand</w:t>
      </w:r>
      <w:proofErr w:type="spellEnd"/>
    </w:p>
    <w:p w14:paraId="424458A2" w14:textId="77777777" w:rsidR="0040675C" w:rsidRDefault="0040675C" w:rsidP="0040675C">
      <w:pPr>
        <w:ind w:left="852"/>
        <w:rPr>
          <w:b/>
          <w:bCs/>
          <w:szCs w:val="24"/>
          <w:lang w:eastAsia="x-none"/>
        </w:rPr>
      </w:pPr>
    </w:p>
    <w:p w14:paraId="53090B81" w14:textId="77777777" w:rsidR="0040675C" w:rsidRDefault="0040675C" w:rsidP="0040675C">
      <w:pPr>
        <w:ind w:left="852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14:paraId="1D0B26BD" w14:textId="77777777" w:rsidR="0040675C" w:rsidRDefault="0040675C" w:rsidP="0040675C">
      <w:pPr>
        <w:ind w:left="852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CR </w:t>
      </w:r>
      <w:hyperlink r:id="rId13" w:history="1">
        <w:r>
          <w:rPr>
            <w:rStyle w:val="Hyperlink"/>
            <w:b/>
            <w:bCs/>
            <w:lang w:val="en-US" w:eastAsia="zh-CN"/>
          </w:rPr>
          <w:t>R1-2207960</w:t>
        </w:r>
      </w:hyperlink>
      <w:r>
        <w:rPr>
          <w:b/>
          <w:bCs/>
          <w:lang w:val="en-US" w:eastAsia="zh-CN"/>
        </w:rPr>
        <w:t xml:space="preserve"> is endorsed in principle by deleting “</w:t>
      </w:r>
      <w:r>
        <w:t>and the SRS is not dropped according to the priority rules defined in this subclause</w:t>
      </w:r>
      <w:r>
        <w:rPr>
          <w:lang w:val="x-none"/>
        </w:rPr>
        <w:t>.</w:t>
      </w:r>
      <w:r>
        <w:rPr>
          <w:b/>
          <w:bCs/>
          <w:lang w:val="en-US" w:eastAsia="zh-CN"/>
        </w:rPr>
        <w:t>”</w:t>
      </w:r>
    </w:p>
    <w:p w14:paraId="0A2B13DC" w14:textId="7DFBA205" w:rsidR="0040675C" w:rsidRPr="0040675C" w:rsidRDefault="0040675C" w:rsidP="001F201D">
      <w:pPr>
        <w:rPr>
          <w:lang w:val="en-FI"/>
        </w:rPr>
      </w:pPr>
      <w:r>
        <w:rPr>
          <w:lang w:val="en-FI"/>
        </w:rPr>
        <w:t>Hence, FGs 39-3-1 and 39-3-2 can be confirmed and the indication they are working assumptions should be removed.</w:t>
      </w:r>
    </w:p>
    <w:p w14:paraId="57654A93" w14:textId="45311C34" w:rsidR="00B94772" w:rsidRPr="0040675C" w:rsidRDefault="00B94772" w:rsidP="001F201D">
      <w:pPr>
        <w:rPr>
          <w:lang w:val="en-FI"/>
        </w:rPr>
      </w:pPr>
      <w:r>
        <w:rPr>
          <w:rStyle w:val="normaltextrun"/>
          <w:b/>
          <w:bCs/>
          <w:color w:val="000000"/>
          <w:bdr w:val="none" w:sz="0" w:space="0" w:color="auto" w:frame="1"/>
        </w:rPr>
        <w:t>Proposal:</w:t>
      </w:r>
      <w:r w:rsidR="0040675C">
        <w:rPr>
          <w:rStyle w:val="normaltextrun"/>
          <w:b/>
          <w:bCs/>
          <w:color w:val="000000"/>
          <w:bdr w:val="none" w:sz="0" w:space="0" w:color="auto" w:frame="1"/>
          <w:lang w:val="en-FI"/>
        </w:rPr>
        <w:t xml:space="preserve"> Remove the text “this is a working assumption” from </w:t>
      </w:r>
      <w:r w:rsidR="0040675C" w:rsidRPr="0040675C">
        <w:rPr>
          <w:rStyle w:val="normaltextrun"/>
          <w:b/>
          <w:bCs/>
          <w:color w:val="000000"/>
          <w:bdr w:val="none" w:sz="0" w:space="0" w:color="auto" w:frame="1"/>
          <w:lang w:val="en-FI"/>
        </w:rPr>
        <w:t>FGs 39-3-1 and 39-3-2</w:t>
      </w:r>
      <w:r w:rsidR="0040675C">
        <w:rPr>
          <w:rStyle w:val="normaltextrun"/>
          <w:b/>
          <w:bCs/>
          <w:color w:val="000000"/>
          <w:bdr w:val="none" w:sz="0" w:space="0" w:color="auto" w:frame="1"/>
          <w:lang w:val="en-FI"/>
        </w:rPr>
        <w:t>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02F9822A" w14:textId="301AD54D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FI"/>
        </w:rPr>
      </w:pPr>
      <w:r w:rsidRPr="00B94772">
        <w:rPr>
          <w:rFonts w:eastAsia="Times New Roman"/>
        </w:rPr>
        <w:t>In this contribution we have presented our views on UE feature</w:t>
      </w:r>
      <w:r w:rsidR="0040675C">
        <w:rPr>
          <w:rFonts w:eastAsia="Times New Roman"/>
          <w:lang w:val="en-FI"/>
        </w:rPr>
        <w:t xml:space="preserve"> issues not covered by other agenda items</w:t>
      </w:r>
      <w:r w:rsidRPr="00B94772">
        <w:rPr>
          <w:rFonts w:eastAsia="Times New Roman"/>
        </w:rPr>
        <w:t>, with the following proposal:</w:t>
      </w:r>
      <w:r w:rsidRPr="00B94772">
        <w:rPr>
          <w:rFonts w:eastAsia="Times New Roman"/>
          <w:lang w:val="en-US"/>
        </w:rPr>
        <w:t>  </w:t>
      </w:r>
    </w:p>
    <w:p w14:paraId="3903446C" w14:textId="77777777" w:rsidR="00B94772" w:rsidRPr="00B94772" w:rsidRDefault="00B94772" w:rsidP="00B94772">
      <w:pPr>
        <w:overflowPunct/>
        <w:autoSpaceDE/>
        <w:autoSpaceDN/>
        <w:adjustRightInd/>
        <w:spacing w:after="0"/>
        <w:rPr>
          <w:rFonts w:ascii="Segoe UI" w:eastAsia="Times New Roman" w:hAnsi="Segoe UI" w:cs="Segoe UI"/>
          <w:sz w:val="18"/>
          <w:szCs w:val="18"/>
          <w:lang w:val="en-US"/>
        </w:rPr>
      </w:pPr>
      <w:r w:rsidRPr="00B94772">
        <w:rPr>
          <w:rFonts w:ascii="Segoe UI" w:eastAsia="Times New Roman" w:hAnsi="Segoe UI" w:cs="Segoe UI"/>
          <w:sz w:val="18"/>
          <w:szCs w:val="18"/>
          <w:lang w:val="en-US"/>
        </w:rPr>
        <w:t> </w:t>
      </w:r>
    </w:p>
    <w:p w14:paraId="0CF910FB" w14:textId="77777777" w:rsidR="0040675C" w:rsidRPr="0040675C" w:rsidRDefault="0040675C" w:rsidP="0040675C">
      <w:pPr>
        <w:rPr>
          <w:lang w:val="en-FI"/>
        </w:rPr>
      </w:pPr>
      <w:r>
        <w:rPr>
          <w:rStyle w:val="normaltextrun"/>
          <w:b/>
          <w:bCs/>
          <w:color w:val="000000"/>
          <w:bdr w:val="none" w:sz="0" w:space="0" w:color="auto" w:frame="1"/>
        </w:rPr>
        <w:t>Proposal:</w:t>
      </w:r>
      <w:r>
        <w:rPr>
          <w:rStyle w:val="normaltextrun"/>
          <w:b/>
          <w:bCs/>
          <w:color w:val="000000"/>
          <w:bdr w:val="none" w:sz="0" w:space="0" w:color="auto" w:frame="1"/>
          <w:lang w:val="en-FI"/>
        </w:rPr>
        <w:t xml:space="preserve"> Remove the text “this is a working assumption” from </w:t>
      </w:r>
      <w:r w:rsidRPr="0040675C">
        <w:rPr>
          <w:rStyle w:val="normaltextrun"/>
          <w:b/>
          <w:bCs/>
          <w:color w:val="000000"/>
          <w:bdr w:val="none" w:sz="0" w:space="0" w:color="auto" w:frame="1"/>
          <w:lang w:val="en-FI"/>
        </w:rPr>
        <w:t>FGs 39-3-1 and 39-3-2</w:t>
      </w:r>
      <w:r>
        <w:rPr>
          <w:rStyle w:val="normaltextrun"/>
          <w:b/>
          <w:bCs/>
          <w:color w:val="000000"/>
          <w:bdr w:val="none" w:sz="0" w:space="0" w:color="auto" w:frame="1"/>
          <w:lang w:val="en-FI"/>
        </w:rPr>
        <w:t>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4A0D2A66" w:rsidR="00205A4B" w:rsidRPr="0040675C" w:rsidRDefault="006E30B4" w:rsidP="006E30B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E30B4">
        <w:rPr>
          <w:sz w:val="20"/>
          <w:szCs w:val="20"/>
          <w:lang w:val="en-FI"/>
        </w:rPr>
        <w:t>R1-2207923</w:t>
      </w:r>
      <w:r>
        <w:rPr>
          <w:sz w:val="20"/>
          <w:szCs w:val="20"/>
          <w:lang w:val="en-FI"/>
        </w:rPr>
        <w:t>,</w:t>
      </w:r>
      <w:r w:rsidRPr="006E30B4">
        <w:rPr>
          <w:sz w:val="20"/>
          <w:szCs w:val="20"/>
          <w:lang w:val="en-FI"/>
        </w:rPr>
        <w:t xml:space="preserve"> </w:t>
      </w:r>
      <w:r>
        <w:rPr>
          <w:sz w:val="20"/>
          <w:szCs w:val="20"/>
          <w:lang w:val="en-FI"/>
        </w:rPr>
        <w:t>“</w:t>
      </w:r>
      <w:proofErr w:type="spellStart"/>
      <w:r w:rsidRPr="006E30B4">
        <w:rPr>
          <w:sz w:val="20"/>
          <w:szCs w:val="20"/>
        </w:rPr>
        <w:t>Updated</w:t>
      </w:r>
      <w:proofErr w:type="spellEnd"/>
      <w:r w:rsidRPr="006E30B4">
        <w:rPr>
          <w:sz w:val="20"/>
          <w:szCs w:val="20"/>
        </w:rPr>
        <w:t xml:space="preserve"> RAN1 UE </w:t>
      </w:r>
      <w:proofErr w:type="spellStart"/>
      <w:r w:rsidRPr="006E30B4">
        <w:rPr>
          <w:sz w:val="20"/>
          <w:szCs w:val="20"/>
        </w:rPr>
        <w:t>features</w:t>
      </w:r>
      <w:proofErr w:type="spellEnd"/>
      <w:r w:rsidRPr="006E30B4">
        <w:rPr>
          <w:sz w:val="20"/>
          <w:szCs w:val="20"/>
        </w:rPr>
        <w:t xml:space="preserve"> list for Rel-17 NR </w:t>
      </w:r>
      <w:proofErr w:type="spellStart"/>
      <w:r w:rsidRPr="006E30B4">
        <w:rPr>
          <w:sz w:val="20"/>
          <w:szCs w:val="20"/>
        </w:rPr>
        <w:t>after</w:t>
      </w:r>
      <w:proofErr w:type="spellEnd"/>
      <w:r w:rsidRPr="006E30B4">
        <w:rPr>
          <w:sz w:val="20"/>
          <w:szCs w:val="20"/>
        </w:rPr>
        <w:t xml:space="preserve"> RAN1 #110 </w:t>
      </w:r>
      <w:proofErr w:type="spellStart"/>
      <w:r w:rsidRPr="006E30B4">
        <w:rPr>
          <w:sz w:val="20"/>
          <w:szCs w:val="20"/>
        </w:rPr>
        <w:t>Thursday</w:t>
      </w:r>
      <w:proofErr w:type="spellEnd"/>
      <w:r>
        <w:rPr>
          <w:sz w:val="20"/>
          <w:szCs w:val="20"/>
          <w:lang w:val="en-FI"/>
        </w:rPr>
        <w:t xml:space="preserve">”, </w:t>
      </w:r>
      <w:r w:rsidRPr="006E30B4">
        <w:rPr>
          <w:sz w:val="20"/>
          <w:szCs w:val="20"/>
          <w:lang w:val="en-FI"/>
        </w:rPr>
        <w:t>Moderators (AT&amp;T, NTT DOCOMO, INC.)</w:t>
      </w:r>
      <w:r>
        <w:rPr>
          <w:sz w:val="20"/>
          <w:szCs w:val="20"/>
          <w:lang w:val="en-FI"/>
        </w:rPr>
        <w:t>, Aug. 2022</w:t>
      </w:r>
    </w:p>
    <w:p w14:paraId="48CBFBDF" w14:textId="299BB375" w:rsidR="000C5B5B" w:rsidRPr="00CD28B2" w:rsidRDefault="0040675C" w:rsidP="00CD28B2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  <w:lang w:val="en-FI"/>
        </w:rPr>
        <w:t>“</w:t>
      </w:r>
      <w:r w:rsidRPr="0040675C">
        <w:rPr>
          <w:sz w:val="20"/>
          <w:szCs w:val="20"/>
        </w:rPr>
        <w:t xml:space="preserve">RAN1 </w:t>
      </w:r>
      <w:proofErr w:type="spellStart"/>
      <w:r w:rsidRPr="0040675C">
        <w:rPr>
          <w:sz w:val="20"/>
          <w:szCs w:val="20"/>
        </w:rPr>
        <w:t>Chair’s</w:t>
      </w:r>
      <w:proofErr w:type="spellEnd"/>
      <w:r w:rsidRPr="0040675C">
        <w:rPr>
          <w:sz w:val="20"/>
          <w:szCs w:val="20"/>
        </w:rPr>
        <w:t xml:space="preserve"> Notes</w:t>
      </w:r>
      <w:r>
        <w:rPr>
          <w:sz w:val="20"/>
          <w:szCs w:val="20"/>
          <w:lang w:val="en-FI"/>
        </w:rPr>
        <w:t>”, RAN1#110, Aug. 2022</w:t>
      </w:r>
    </w:p>
    <w:sectPr w:rsidR="000C5B5B" w:rsidRPr="00CD28B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C798" w14:textId="77777777" w:rsidR="00A35F8F" w:rsidRDefault="00A35F8F">
      <w:r>
        <w:separator/>
      </w:r>
    </w:p>
  </w:endnote>
  <w:endnote w:type="continuationSeparator" w:id="0">
    <w:p w14:paraId="5B86EC28" w14:textId="77777777" w:rsidR="00A35F8F" w:rsidRDefault="00A3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3BF4" w14:textId="77777777" w:rsidR="00A35F8F" w:rsidRDefault="00A35F8F">
      <w:r>
        <w:separator/>
      </w:r>
    </w:p>
  </w:footnote>
  <w:footnote w:type="continuationSeparator" w:id="0">
    <w:p w14:paraId="7422DB3F" w14:textId="77777777" w:rsidR="00A35F8F" w:rsidRDefault="00A3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DC4"/>
    <w:multiLevelType w:val="multilevel"/>
    <w:tmpl w:val="0582C1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105E10"/>
    <w:multiLevelType w:val="multilevel"/>
    <w:tmpl w:val="D2C08610"/>
    <w:lvl w:ilvl="0">
      <w:start w:val="1"/>
      <w:numFmt w:val="bullet"/>
      <w:lvlText w:val="o"/>
      <w:lvlJc w:val="left"/>
      <w:pPr>
        <w:tabs>
          <w:tab w:val="num" w:pos="438"/>
        </w:tabs>
        <w:ind w:left="438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09D1"/>
    <w:multiLevelType w:val="multilevel"/>
    <w:tmpl w:val="8CFC32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FB65B45"/>
    <w:multiLevelType w:val="multilevel"/>
    <w:tmpl w:val="5672D4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C4992"/>
    <w:multiLevelType w:val="multilevel"/>
    <w:tmpl w:val="312C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376C88"/>
    <w:multiLevelType w:val="multilevel"/>
    <w:tmpl w:val="C13C90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D6E38C4"/>
    <w:multiLevelType w:val="hybridMultilevel"/>
    <w:tmpl w:val="8FD425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4644F5"/>
    <w:multiLevelType w:val="multilevel"/>
    <w:tmpl w:val="5900A8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2584743"/>
    <w:multiLevelType w:val="multilevel"/>
    <w:tmpl w:val="2B50F7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7CD1A22"/>
    <w:multiLevelType w:val="multilevel"/>
    <w:tmpl w:val="6618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415A5A"/>
    <w:multiLevelType w:val="multilevel"/>
    <w:tmpl w:val="11FC34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96A1007"/>
    <w:multiLevelType w:val="multilevel"/>
    <w:tmpl w:val="10AE4B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D183D14"/>
    <w:multiLevelType w:val="multilevel"/>
    <w:tmpl w:val="C9D8DA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D28126E"/>
    <w:multiLevelType w:val="multilevel"/>
    <w:tmpl w:val="91C8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ED73AAF"/>
    <w:multiLevelType w:val="multilevel"/>
    <w:tmpl w:val="0B68D9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2FCE399D"/>
    <w:multiLevelType w:val="multilevel"/>
    <w:tmpl w:val="E6A279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337126BA"/>
    <w:multiLevelType w:val="multilevel"/>
    <w:tmpl w:val="C596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1E1780"/>
    <w:multiLevelType w:val="multilevel"/>
    <w:tmpl w:val="73E481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07259"/>
    <w:multiLevelType w:val="multilevel"/>
    <w:tmpl w:val="0252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6C1335"/>
    <w:multiLevelType w:val="multilevel"/>
    <w:tmpl w:val="35A0BE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3AAA46BD"/>
    <w:multiLevelType w:val="multilevel"/>
    <w:tmpl w:val="E826B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FD38E4"/>
    <w:multiLevelType w:val="multilevel"/>
    <w:tmpl w:val="837A7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3E046FFC"/>
    <w:multiLevelType w:val="multilevel"/>
    <w:tmpl w:val="CB5E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72E6E1E"/>
    <w:multiLevelType w:val="multilevel"/>
    <w:tmpl w:val="7DD4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604EC9"/>
    <w:multiLevelType w:val="multilevel"/>
    <w:tmpl w:val="7BF6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3785B60"/>
    <w:multiLevelType w:val="multilevel"/>
    <w:tmpl w:val="5A943A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54BD26AE"/>
    <w:multiLevelType w:val="multilevel"/>
    <w:tmpl w:val="4438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8024EE"/>
    <w:multiLevelType w:val="multilevel"/>
    <w:tmpl w:val="D162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A391634"/>
    <w:multiLevelType w:val="multilevel"/>
    <w:tmpl w:val="FE2A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5B5343A8"/>
    <w:multiLevelType w:val="multilevel"/>
    <w:tmpl w:val="700E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5E748B"/>
    <w:multiLevelType w:val="multilevel"/>
    <w:tmpl w:val="B4B2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B760235"/>
    <w:multiLevelType w:val="multilevel"/>
    <w:tmpl w:val="9A8C71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515963"/>
    <w:multiLevelType w:val="multilevel"/>
    <w:tmpl w:val="08760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5EE25FB2"/>
    <w:multiLevelType w:val="multilevel"/>
    <w:tmpl w:val="FD1A97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5FBA1FBA"/>
    <w:multiLevelType w:val="multilevel"/>
    <w:tmpl w:val="CC76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20407CA"/>
    <w:multiLevelType w:val="multilevel"/>
    <w:tmpl w:val="FC1A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43C109F"/>
    <w:multiLevelType w:val="multilevel"/>
    <w:tmpl w:val="BF8A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5B93D33"/>
    <w:multiLevelType w:val="multilevel"/>
    <w:tmpl w:val="247E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64657FD"/>
    <w:multiLevelType w:val="multilevel"/>
    <w:tmpl w:val="A65C9D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689E4308"/>
    <w:multiLevelType w:val="multilevel"/>
    <w:tmpl w:val="9DB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A6560FC"/>
    <w:multiLevelType w:val="multilevel"/>
    <w:tmpl w:val="E1FC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07A588C"/>
    <w:multiLevelType w:val="multilevel"/>
    <w:tmpl w:val="567AE4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6" w15:restartNumberingAfterBreak="0">
    <w:nsid w:val="741D5B82"/>
    <w:multiLevelType w:val="multilevel"/>
    <w:tmpl w:val="AF54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5701DBD"/>
    <w:multiLevelType w:val="multilevel"/>
    <w:tmpl w:val="0BD656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8162C7F"/>
    <w:multiLevelType w:val="multilevel"/>
    <w:tmpl w:val="6D5495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6"/>
  </w:num>
  <w:num w:numId="2">
    <w:abstractNumId w:val="21"/>
  </w:num>
  <w:num w:numId="3">
    <w:abstractNumId w:val="2"/>
  </w:num>
  <w:num w:numId="4">
    <w:abstractNumId w:val="8"/>
  </w:num>
  <w:num w:numId="5">
    <w:abstractNumId w:val="19"/>
  </w:num>
  <w:num w:numId="6">
    <w:abstractNumId w:val="48"/>
  </w:num>
  <w:num w:numId="7">
    <w:abstractNumId w:val="30"/>
  </w:num>
  <w:num w:numId="8">
    <w:abstractNumId w:val="0"/>
  </w:num>
  <w:num w:numId="9">
    <w:abstractNumId w:val="28"/>
  </w:num>
  <w:num w:numId="10">
    <w:abstractNumId w:val="10"/>
  </w:num>
  <w:num w:numId="11">
    <w:abstractNumId w:val="39"/>
  </w:num>
  <w:num w:numId="12">
    <w:abstractNumId w:val="36"/>
  </w:num>
  <w:num w:numId="13">
    <w:abstractNumId w:val="40"/>
  </w:num>
  <w:num w:numId="14">
    <w:abstractNumId w:val="1"/>
  </w:num>
  <w:num w:numId="15">
    <w:abstractNumId w:val="34"/>
  </w:num>
  <w:num w:numId="16">
    <w:abstractNumId w:val="3"/>
  </w:num>
  <w:num w:numId="17">
    <w:abstractNumId w:val="41"/>
  </w:num>
  <w:num w:numId="18">
    <w:abstractNumId w:val="42"/>
  </w:num>
  <w:num w:numId="19">
    <w:abstractNumId w:val="27"/>
  </w:num>
  <w:num w:numId="20">
    <w:abstractNumId w:val="6"/>
  </w:num>
  <w:num w:numId="21">
    <w:abstractNumId w:val="35"/>
  </w:num>
  <w:num w:numId="22">
    <w:abstractNumId w:val="29"/>
  </w:num>
  <w:num w:numId="23">
    <w:abstractNumId w:val="4"/>
  </w:num>
  <w:num w:numId="24">
    <w:abstractNumId w:val="13"/>
  </w:num>
  <w:num w:numId="25">
    <w:abstractNumId w:val="24"/>
  </w:num>
  <w:num w:numId="26">
    <w:abstractNumId w:val="18"/>
  </w:num>
  <w:num w:numId="27">
    <w:abstractNumId w:val="33"/>
  </w:num>
  <w:num w:numId="28">
    <w:abstractNumId w:val="32"/>
  </w:num>
  <w:num w:numId="29">
    <w:abstractNumId w:val="46"/>
  </w:num>
  <w:num w:numId="30">
    <w:abstractNumId w:val="14"/>
  </w:num>
  <w:num w:numId="31">
    <w:abstractNumId w:val="43"/>
  </w:num>
  <w:num w:numId="32">
    <w:abstractNumId w:val="25"/>
  </w:num>
  <w:num w:numId="33">
    <w:abstractNumId w:val="15"/>
  </w:num>
  <w:num w:numId="34">
    <w:abstractNumId w:val="23"/>
  </w:num>
  <w:num w:numId="35">
    <w:abstractNumId w:val="38"/>
  </w:num>
  <w:num w:numId="36">
    <w:abstractNumId w:val="20"/>
  </w:num>
  <w:num w:numId="37">
    <w:abstractNumId w:val="26"/>
  </w:num>
  <w:num w:numId="38">
    <w:abstractNumId w:val="47"/>
  </w:num>
  <w:num w:numId="39">
    <w:abstractNumId w:val="44"/>
  </w:num>
  <w:num w:numId="40">
    <w:abstractNumId w:val="45"/>
  </w:num>
  <w:num w:numId="41">
    <w:abstractNumId w:val="11"/>
  </w:num>
  <w:num w:numId="42">
    <w:abstractNumId w:val="9"/>
  </w:num>
  <w:num w:numId="43">
    <w:abstractNumId w:val="22"/>
  </w:num>
  <w:num w:numId="44">
    <w:abstractNumId w:val="17"/>
  </w:num>
  <w:num w:numId="45">
    <w:abstractNumId w:val="5"/>
  </w:num>
  <w:num w:numId="46">
    <w:abstractNumId w:val="37"/>
  </w:num>
  <w:num w:numId="47">
    <w:abstractNumId w:val="31"/>
  </w:num>
  <w:num w:numId="48">
    <w:abstractNumId w:val="12"/>
  </w:num>
  <w:num w:numId="4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1C9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058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75C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30B4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C1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04B4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282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772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8FE"/>
    <w:rsid w:val="00CD078F"/>
    <w:rsid w:val="00CD121E"/>
    <w:rsid w:val="00CD185D"/>
    <w:rsid w:val="00CD28B2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50C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1BD"/>
    <w:rsid w:val="00F35296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955E3A6"/>
    <w:rsid w:val="3E61DC49"/>
    <w:rsid w:val="5529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35296"/>
  </w:style>
  <w:style w:type="character" w:customStyle="1" w:styleId="eop">
    <w:name w:val="eop"/>
    <w:basedOn w:val="DefaultParagraphFont"/>
    <w:rsid w:val="00F35296"/>
  </w:style>
  <w:style w:type="paragraph" w:customStyle="1" w:styleId="paragraph">
    <w:name w:val="paragraph"/>
    <w:basedOn w:val="Normal"/>
    <w:rsid w:val="00F352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cassribe\Documents\local%20documents\3GPP\RAN1\RAN1%20110\TSGR1_110\Docs\R1-220796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5AIRPNAIUNRU-1830940522-17516</_dlc_DocId>
    <_dlc_DocIdUrl xmlns="71c5aaf6-e6ce-465b-b873-5148d2a4c105">
      <Url>https://nokia.sharepoint.com/sites/c5g/5gradio/_layouts/15/DocIdRedir.aspx?ID=5AIRPNAIUNRU-1830940522-17516</Url>
      <Description>5AIRPNAIUNRU-1830940522-17516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purl.org/dc/terms/"/>
    <ds:schemaRef ds:uri="95d2e41d-1f11-4347-bb1c-11d6a32975dd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ebabf6ce-2443-438c-9946-ecc878e7654a"/>
    <ds:schemaRef ds:uri="3b34c8f0-1ef5-4d1e-bb66-517ce7fe7356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295</Words>
  <Characters>1683</Characters>
  <Application>Microsoft Office Word</Application>
  <DocSecurity>0</DocSecurity>
  <Lines>14</Lines>
  <Paragraphs>3</Paragraphs>
  <ScaleCrop>false</ScaleCrop>
  <Company>Nokia &amp; NSN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2</cp:revision>
  <cp:lastPrinted>2016-06-20T11:35:00Z</cp:lastPrinted>
  <dcterms:created xsi:type="dcterms:W3CDTF">2022-09-30T16:41:00Z</dcterms:created>
  <dcterms:modified xsi:type="dcterms:W3CDTF">2022-09-30T16:41:00Z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f8aba496-1548-4d68-ac5d-68d15ba4bbb0</vt:lpwstr>
  </property>
</Properties>
</file>